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Display" w:cs="Aptos Display" w:eastAsia="Aptos Display" w:hAnsi="Aptos Display"/>
          <w:b/>
          <w:bCs/>
          <w:color w:val="10131C"/>
          <w:sz w:val="40"/>
          <w:szCs w:val="40"/>
        </w:rPr>
        <w:t xml:space="preserve">AI-Supported Work Authorization</w:t>
      </w:r>
    </w:p>
    <w:p>
      <w:pPr>
        <w:spacing w:after="160"/>
      </w:pPr>
      <w:r>
        <w:rPr>
          <w:rFonts w:ascii="Aptos Display" w:cs="Aptos Display" w:eastAsia="Aptos Display" w:hAnsi="Aptos Display"/>
          <w:b/>
          <w:bCs/>
          <w:color w:val="B45637"/>
          <w:sz w:val="28"/>
          <w:szCs w:val="28"/>
        </w:rPr>
        <w:t xml:space="preserve">Gate Decision Record</w:t>
      </w:r>
    </w:p>
    <w:p>
      <w:pPr>
        <w:spacing w:after="160" w:line="300"/>
      </w:pPr>
      <w:r>
        <w:rPr>
          <w:rFonts w:ascii="Aptos" w:cs="Aptos" w:eastAsia="Aptos" w:hAnsi="Aptos"/>
          <w:color w:val="10131C"/>
          <w:sz w:val="20"/>
          <w:szCs w:val="20"/>
        </w:rPr>
        <w:t xml:space="preserve">Use this record to connect evidence to an explicit decision at Stages 0–5. Completing reviews, tests, or training does not itself authorize the work.</w:t>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5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Use ID</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Unique identifier linked to the AI Use Inventory</w:t>
            </w:r>
          </w:p>
        </w:tc>
      </w:tr>
      <w:tr>
        <w:trPr>
          <w:trHeight w:val="5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Decision record ID / version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w:r>
          </w:p>
        </w:tc>
      </w:tr>
      <w:tr>
        <w:trPr>
          <w:trHeight w:val="7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Stage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0 Inventory  ☐ 1 Define risk  ☐ 2 Authority/records  ☐ 3 Test  ☐ 4 Routine use  ☐ 5 Change/retire</w:t>
            </w:r>
          </w:p>
        </w:tc>
      </w:tr>
      <w:tr>
        <w:trPr>
          <w:trHeight w:val="7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Decision requested</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Register, contain, prohibit, authorize pilot, authorize routine use, expand, narrow, reinstate, suspend, stop, or retire</w:t>
            </w:r>
          </w:p>
        </w:tc>
      </w:tr>
      <w:tr>
        <w:trPr>
          <w:trHeight w:val="5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Decision date / effective date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w:r>
          </w:p>
        </w:tc>
      </w:tr>
      <w:tr>
        <w:trPr>
          <w:trHeight w:val="5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Next review date or trigger</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FBF8F2" w:val="clear"/>
            <w:tcMar>
              <w:top w:type="dxa" w:w="120"/>
              <w:left w:type="dxa" w:w="140"/>
              <w:bottom w:type="dxa" w:w="120"/>
              <w:right w:type="dxa" w:w="140"/>
            </w:tcMar>
          </w:tcPr>
          <w:p>
            <w:pPr>
              <w:spacing w:after="100" w:line="276"/>
            </w:pPr>
            <w:r>
              <w:rPr>
                <w:rFonts w:ascii="Aptos" w:cs="Aptos" w:eastAsia="Aptos" w:hAnsi="Aptos"/>
                <w:b/>
                <w:bCs/>
                <w:color w:val="B45637"/>
                <w:sz w:val="18"/>
                <w:szCs w:val="18"/>
              </w:rPr>
              <w:t xml:space="preserve">Handling note</w:t>
            </w:r>
          </w:p>
          <w:p>
            <w:pPr>
              <w:spacing w:after="0" w:line="250"/>
            </w:pPr>
            <w:r>
              <w:rPr>
                <w:rFonts w:ascii="Aptos" w:cs="Aptos" w:eastAsia="Aptos" w:hAnsi="Aptos"/>
                <w:color w:val="10131C"/>
                <w:sz w:val="17"/>
                <w:szCs w:val="17"/>
              </w:rPr>
              <w:t xml:space="preserve">Do not enter passwords, API keys, access tokens, full personal data, protected record content, or confidential prompts. Cite controlled repositories and evidence identifiers. Store this record under the applicable access, retention, and signature controls.</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1. Bounded use and decision context</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82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AI-supported task</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Describe the specific work, not a general platform or vendor</w:t>
            </w:r>
          </w:p>
        </w:tc>
      </w:tr>
      <w:tr>
        <w:trPr>
          <w:trHeight w:val="82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Expected output and downstream decision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what the output supports and who decides</w:t>
            </w:r>
          </w:p>
        </w:tc>
      </w:tr>
      <w:tr>
        <w:trPr>
          <w:trHeight w:val="82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Named process, product, site, and jurisdiction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what is inside and outside scope</w:t>
            </w:r>
          </w:p>
        </w:tc>
      </w:tr>
      <w:tr>
        <w:trPr>
          <w:trHeight w:val="82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System, model, version, interface, and configuration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Record the qualified state and evidence reference</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Source boundary</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Systems, repositories, document status, inclusion rules, exclusions, and unavailable sources</w:t>
            </w:r>
          </w:p>
        </w:tc>
      </w:tr>
      <w:tr>
        <w:trPr>
          <w:trHeight w:val="82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Users and assigned roles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Identify operators, reviewers, approvers, administrators, and support roles</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Authority envelope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What the system may read, draft, recommend, change, execute, or approve</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Prohibited actions and technical enforcement</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Describe permissions, identity, approval checks, and stop controls</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Failure consequences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Product quality, patient safety, data integrity, compliance, privacy, security, or availability</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Records and signatures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Predicate-rule basis, Part 11 determination, required evidence, retention, and electronic-signature use</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2. Accountability</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2400"/>
        <w:gridCol w:w="2600"/>
        <w:gridCol w:w="2200"/>
        <w:gridCol w:w="2160"/>
      </w:tblGrid>
      <w:tr>
        <w:tc>
          <w:tcPr>
            <w:shd w:fill="B45637" w:val="clear"/>
          </w:tcPr>
          <w:p>
            <w:pPr>
              <w:spacing w:after="0"/>
            </w:pPr>
            <w:r>
              <w:rPr>
                <w:rFonts w:ascii="Aptos" w:cs="Aptos" w:eastAsia="Aptos" w:hAnsi="Aptos"/>
                <w:b/>
                <w:bCs/>
                <w:color w:val="FFFFFF"/>
                <w:sz w:val="17"/>
                <w:szCs w:val="17"/>
              </w:rPr>
              <w:t xml:space="preserve">Role</w:t>
            </w:r>
          </w:p>
        </w:tc>
        <w:tc>
          <w:tcPr>
            <w:shd w:fill="B45637" w:val="clear"/>
          </w:tcPr>
          <w:p>
            <w:pPr>
              <w:spacing w:after="0"/>
            </w:pPr>
            <w:r>
              <w:rPr>
                <w:rFonts w:ascii="Aptos" w:cs="Aptos" w:eastAsia="Aptos" w:hAnsi="Aptos"/>
                <w:b/>
                <w:bCs/>
                <w:color w:val="FFFFFF"/>
                <w:sz w:val="17"/>
                <w:szCs w:val="17"/>
              </w:rPr>
              <w:t xml:space="preserve">Name / function</w:t>
            </w:r>
          </w:p>
        </w:tc>
        <w:tc>
          <w:tcPr>
            <w:shd w:fill="B45637" w:val="clear"/>
          </w:tcPr>
          <w:p>
            <w:pPr>
              <w:spacing w:after="0"/>
            </w:pPr>
            <w:r>
              <w:rPr>
                <w:rFonts w:ascii="Aptos" w:cs="Aptos" w:eastAsia="Aptos" w:hAnsi="Aptos"/>
                <w:b/>
                <w:bCs/>
                <w:color w:val="FFFFFF"/>
                <w:sz w:val="17"/>
                <w:szCs w:val="17"/>
              </w:rPr>
              <w:t xml:space="preserve">Responsibility for this decision</w:t>
            </w:r>
          </w:p>
        </w:tc>
        <w:tc>
          <w:tcPr>
            <w:shd w:fill="B45637" w:val="clear"/>
          </w:tcPr>
          <w:p>
            <w:pPr>
              <w:spacing w:after="0"/>
            </w:pPr>
            <w:r>
              <w:rPr>
                <w:rFonts w:ascii="Aptos" w:cs="Aptos" w:eastAsia="Aptos" w:hAnsi="Aptos"/>
                <w:b/>
                <w:bCs/>
                <w:color w:val="FFFFFF"/>
                <w:sz w:val="17"/>
                <w:szCs w:val="17"/>
              </w:rPr>
              <w:t xml:space="preserve">Conflict / independence note</w:t>
            </w:r>
          </w:p>
        </w:tc>
      </w:tr>
      <w:tr>
        <w:trPr>
          <w:trHeight w:val="640" w:hRule="atLeast"/>
        </w:trPr>
        <w:tc>
          <w:tcPr>
            <w:shd w:fill="F5F1E9" w:val="clear"/>
          </w:tcPr>
          <w:p>
            <w:pPr>
              <w:spacing w:after="0"/>
            </w:pPr>
            <w:r>
              <w:rPr>
                <w:rFonts w:ascii="Aptos" w:cs="Aptos" w:eastAsia="Aptos" w:hAnsi="Aptos"/>
                <w:b/>
                <w:bCs/>
                <w:color w:val="10131C"/>
                <w:sz w:val="17"/>
                <w:szCs w:val="17"/>
              </w:rPr>
              <w:t xml:space="preserve">Process owner</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Quality owner / quality unit</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System owner</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Data owner</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Evaluation owner</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IT / security / privacy</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40" w:hRule="atLeast"/>
        </w:trPr>
        <w:tc>
          <w:tcPr>
            <w:shd w:fill="F5F1E9" w:val="clear"/>
          </w:tcPr>
          <w:p>
            <w:pPr>
              <w:spacing w:after="0"/>
            </w:pPr>
            <w:r>
              <w:rPr>
                <w:rFonts w:ascii="Aptos" w:cs="Aptos" w:eastAsia="Aptos" w:hAnsi="Aptos"/>
                <w:b/>
                <w:bCs/>
                <w:color w:val="10131C"/>
                <w:sz w:val="17"/>
                <w:szCs w:val="17"/>
              </w:rPr>
              <w:t xml:space="preserve">Supplier / external party</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3. Evidence reviewed</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4300"/>
        <w:gridCol w:w="2460"/>
        <w:gridCol w:w="2600"/>
      </w:tblGrid>
      <w:tr>
        <w:tc>
          <w:tcPr>
            <w:shd w:fill="B45637" w:val="clear"/>
          </w:tcPr>
          <w:p>
            <w:pPr>
              <w:spacing w:after="0"/>
            </w:pPr>
            <w:r>
              <w:rPr>
                <w:rFonts w:ascii="Aptos" w:cs="Aptos" w:eastAsia="Aptos" w:hAnsi="Aptos"/>
                <w:b/>
                <w:bCs/>
                <w:color w:val="FFFFFF"/>
                <w:sz w:val="18"/>
                <w:szCs w:val="18"/>
              </w:rPr>
              <w:t xml:space="preserve">Evidence / control</w:t>
            </w:r>
          </w:p>
        </w:tc>
        <w:tc>
          <w:tcPr>
            <w:shd w:fill="B45637" w:val="clear"/>
          </w:tcPr>
          <w:p>
            <w:pPr>
              <w:spacing w:after="0"/>
            </w:pPr>
            <w:r>
              <w:rPr>
                <w:rFonts w:ascii="Aptos" w:cs="Aptos" w:eastAsia="Aptos" w:hAnsi="Aptos"/>
                <w:b/>
                <w:bCs/>
                <w:color w:val="FFFFFF"/>
                <w:sz w:val="18"/>
                <w:szCs w:val="18"/>
              </w:rPr>
              <w:t xml:space="preserve">Status / reviewer</w:t>
            </w:r>
          </w:p>
        </w:tc>
        <w:tc>
          <w:tcPr>
            <w:shd w:fill="B45637" w:val="clear"/>
          </w:tcPr>
          <w:p>
            <w:pPr>
              <w:spacing w:after="0"/>
            </w:pPr>
            <w:r>
              <w:rPr>
                <w:rFonts w:ascii="Aptos" w:cs="Aptos" w:eastAsia="Aptos" w:hAnsi="Aptos"/>
                <w:b/>
                <w:bCs/>
                <w:color w:val="FFFFFF"/>
                <w:sz w:val="18"/>
                <w:szCs w:val="18"/>
              </w:rPr>
              <w:t xml:space="preserve">Reference</w:t>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Current AI Use Inventory entry and ownership</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Intended use, baseline process, risk assessment, and applicable requirements</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Data map, source inventory, inclusion rules, and evidence identity</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Authority design, access controls, prohibited actions, and segregation of duties</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Part 11 / electronic-record and signature determination where applicable</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Security, privacy, and third-party dependency review</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Supplier evidence and change-notification responsibilities</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Representative challenge cases, scoring rubric, and protected holdout evidence</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Human reviewer qualification and assessor calibration</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Recovery, duplicate request, interrupted execution, and partial-success tests</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Pilot results, critical failures, near misses, overrides, workload, and user feedback</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Benefit and burden: time to acceptable work, correction, escalation, maintenance, and rework</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r>
        <w:trPr>
          <w:trHeight w:val="560" w:hRule="atLeast"/>
        </w:trPr>
        <w:tc>
          <w:tcPr>
            <w:tcMar>
              <w:top w:type="dxa" w:w="80"/>
              <w:left w:type="dxa" w:w="100"/>
              <w:bottom w:type="dxa" w:w="80"/>
              <w:right w:type="dxa" w:w="100"/>
            </w:tcMar>
          </w:tcPr>
          <w:p>
            <w:pPr>
              <w:spacing w:after="0"/>
            </w:pPr>
            <w:r>
              <w:rPr>
                <w:rFonts w:ascii="Aptos" w:cs="Aptos" w:eastAsia="Aptos" w:hAnsi="Aptos"/>
                <w:color w:val="10131C"/>
                <w:sz w:val="17"/>
                <w:szCs w:val="17"/>
              </w:rPr>
              <w:t xml:space="preserve">☐ Change impact, regression evidence, requalification, continuity, and retirement plan</w:t>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c>
          <w:tcPr>
            <w:tcMar>
              <w:top w:type="dxa" w:w="80"/>
              <w:left w:type="dxa" w:w="100"/>
              <w:bottom w:type="dxa" w:w="80"/>
              <w:right w:type="dxa" w:w="100"/>
            </w:tcMar>
          </w:tcPr>
          <w:p>
            <w:pPr>
              <w:spacing w:after="0"/>
            </w:pPr>
            <w:r>
              <w:rPr>
                <w:rFonts w:ascii="Aptos" w:cs="Aptos" w:eastAsia="Aptos" w:hAnsi="Aptos"/>
                <w:color w:val="10131C"/>
                <w:sz w:val="17"/>
                <w:szCs w:val="17"/>
              </w:rPr>
              <w:t xml:space="preserve"/>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4. Security, privacy, and data-integrity disposition</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Authentication and identity</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Identify the user/system identity and whether a handle, URL, shared credential, or weak bearer identifier creates exposure</w:t>
            </w:r>
          </w:p>
        </w:tc>
      </w:tr>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Access and least privilege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Show that technical permissions match the authority envelope; instructions alone are insufficient</w:t>
            </w:r>
          </w:p>
        </w:tc>
      </w:tr>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Data classification and privacy</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personal, confidential, GxP, or cross-border data; identify minimization and approved storage</w:t>
            </w:r>
          </w:p>
        </w:tc>
      </w:tr>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Third-party and script dependencies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List suppliers, integrations, embedded services, external scripts, and change/incident responsibilities</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Decision provenance and audit evidence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Inputs, versions, retrievals, output, changes, human reasons, approvals, and resulting state</w:t>
            </w:r>
          </w:p>
        </w:tc>
      </w:tr>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Retention and uncontrolled copies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Keep enough evidence to explain the decision without indiscriminate logging</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Incident, stop, and recovery controls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Detection, containment, reconciliation, compensating action, notification, and suspension authority</w:t>
            </w:r>
          </w:p>
        </w:tc>
      </w:tr>
      <w:tr>
        <w:trPr>
          <w:trHeight w:val="7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Security / privacy disposition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Acceptable  ☐ Acceptable with actions  ☐ Not acceptable  ☐ Not applicable; cite reviewer and evidence</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5. Evaluation findings and uncertainty</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10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Evaluation design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Conditions compared, sample, case classes, versions, reviewer instructions, blinding, and holdout protection</w:t>
            </w:r>
          </w:p>
        </w:tc>
      </w:tr>
      <w:tr>
        <w:trPr>
          <w:trHeight w:val="8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Predefined thresholds and critical failures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Cite the approved scoring sheet and decision rules</w:t>
            </w:r>
          </w:p>
        </w:tc>
      </w:tr>
      <w:tr>
        <w:trPr>
          <w:trHeight w:val="10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Results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Completed cases, average score, critical failures, disagreements, withdrawals, and time to acceptable output</w:t>
            </w:r>
          </w:p>
        </w:tc>
      </w:tr>
      <w:tr>
        <w:trPr>
          <w:trHeight w:val="10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Important failure modes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Consequential omissions, unsupported conclusions, rejected correct work, unnecessary escalation, and recovery failures</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Reviewer performance and workload</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Competence, evidence access, review time, queue, escalation patterns, and practical authority</w:t>
            </w:r>
          </w:p>
        </w:tc>
      </w:tr>
      <w:tr>
        <w:trPr>
          <w:trHeight w:val="8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Benefit and cost</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Compare the complete job with the baseline, including control and maintenance burden</w:t>
            </w:r>
          </w:p>
        </w:tc>
      </w:tr>
      <w:tr>
        <w:trPr>
          <w:trHeight w:val="10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Limitations and unresolved uncertainty</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what was not tested, small-sample uncertainty, unavailable evidence, or supplier constraints</w:t>
            </w:r>
          </w:p>
        </w:tc>
      </w:tr>
      <w:tr>
        <w:trPr>
          <w:trHeight w:val="95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Corrective actions required before decision</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Owner, due date, evidence needed, and whether use remains restricted</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6. Gate decision</w:t>
            </w:r>
          </w:p>
        </w:tc>
      </w:tr>
    </w:tbl>
    <w:p>
      <w:pPr>
        <w:spacing w:after="80"/>
      </w:pPr>
      <w:r>
        <w:rPr>
          <w:rFonts w:ascii="Aptos" w:cs="Aptos" w:eastAsia="Aptos" w:hAnsi="Aptos"/>
          <w:color w:val="10131C"/>
          <w:sz w:val="20"/>
          <w:szCs w:val="20"/>
        </w:rPr>
        <w:t xml:space="preserve"/>
      </w:r>
    </w:p>
    <w:p>
      <w:pPr>
        <w:spacing w:after="100" w:line="276"/>
      </w:pPr>
      <w:r>
        <w:rPr>
          <w:rFonts w:ascii="Aptos" w:cs="Aptos" w:eastAsia="Aptos" w:hAnsi="Aptos"/>
          <w:color w:val="5F6470"/>
          <w:sz w:val="18"/>
          <w:szCs w:val="18"/>
        </w:rPr>
        <w:t xml:space="preserve">Select one decision. The written scope and conditions govern; the checkbox alone is not authorization.</w:t>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p>
            <w:pPr>
              <w:spacing w:after="0"/>
            </w:pPr>
            <w:r>
              <w:rPr>
                <w:rFonts w:ascii="Aptos" w:cs="Aptos" w:eastAsia="Aptos" w:hAnsi="Aptos"/>
                <w:color w:val="10131C"/>
                <w:sz w:val="18"/>
                <w:szCs w:val="18"/>
              </w:rPr>
              <w:t xml:space="preserve">☐ Register / assign ownership   ☐ Contain or prohibit   ☐ Authorize bounded pilot   ☐ Correct and retest</w:t>
            </w:r>
          </w:p>
        </w:tc>
      </w:tr>
      <w:tr>
        <w:tc>
          <w:p>
            <w:pPr>
              <w:spacing w:after="0"/>
            </w:pPr>
            <w:r>
              <w:rPr>
                <w:rFonts w:ascii="Aptos" w:cs="Aptos" w:eastAsia="Aptos" w:hAnsi="Aptos"/>
                <w:color w:val="10131C"/>
                <w:sz w:val="18"/>
                <w:szCs w:val="18"/>
              </w:rPr>
              <w:t xml:space="preserve">☐ Authorize routine use   ☐ Authorize expansion   ☐ Narrow or restrict   ☐ Suspend / stop   ☐ Reinstate   ☐ Retire</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12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Decision rationale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Explain how the evidence supports the decision and identify contrary evidence</w:t>
            </w:r>
          </w:p>
        </w:tc>
      </w:tr>
      <w:tr>
        <w:trPr>
          <w:trHeight w:val="12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Authorized scope</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Task, sources, system/version, users, site/product, authority, operating hours, and output destination</w:t>
            </w:r>
          </w:p>
        </w:tc>
      </w:tr>
      <w:tr>
        <w:trPr>
          <w:trHeight w:val="11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Conditions and open actions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Owner, due date, evidence required, and consequence of non-completion</w:t>
            </w:r>
          </w:p>
        </w:tc>
      </w:tr>
      <w:tr>
        <w:trPr>
          <w:trHeight w:val="11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Monitoring</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Consequential performance, drift indicators, incidents, near misses, overrides, workload, and user feedback</w:t>
            </w:r>
          </w:p>
        </w:tc>
      </w:tr>
      <w:tr>
        <w:trPr>
          <w:trHeight w:val="11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Stop or restriction criteria</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the finding, threshold, incident, or unavailable control that triggers action</w:t>
            </w:r>
          </w:p>
        </w:tc>
      </w:tr>
      <w:tr>
        <w:trPr>
          <w:trHeight w:val="11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Change and re-review triggers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Model/version, retrieval, interface, procedure, product/site, staff, permission, supplier, or regulation</w:t>
            </w:r>
          </w:p>
        </w:tc>
      </w:tr>
      <w:tr>
        <w:trPr>
          <w:trHeight w:val="7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Effective period / expiry</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State when the decision must be reconsidered even if no trigger occurs</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7. Accountable approvals</w:t>
            </w:r>
          </w:p>
        </w:tc>
      </w:tr>
    </w:tbl>
    <w:p>
      <w:pPr>
        <w:spacing w:after="80"/>
      </w:pPr>
      <w:r>
        <w:rPr>
          <w:rFonts w:ascii="Aptos" w:cs="Aptos" w:eastAsia="Aptos" w:hAnsi="Aptos"/>
          <w:color w:val="10131C"/>
          <w:sz w:val="20"/>
          <w:szCs w:val="20"/>
        </w:rPr>
        <w:t xml:space="preserve"/>
      </w:r>
    </w:p>
    <w:p>
      <w:pPr>
        <w:spacing w:after="100" w:line="276"/>
      </w:pPr>
      <w:r>
        <w:rPr>
          <w:rFonts w:ascii="Aptos" w:cs="Aptos" w:eastAsia="Aptos" w:hAnsi="Aptos"/>
          <w:color w:val="5F6470"/>
          <w:sz w:val="17"/>
          <w:szCs w:val="17"/>
        </w:rPr>
        <w:t xml:space="preserve">Use the organization's approved approval and electronic-signature system where required. This Word template is not itself configured or validated as a Part 11 system.</w:t>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2200"/>
        <w:gridCol w:w="2600"/>
        <w:gridCol w:w="2260"/>
        <w:gridCol w:w="2300"/>
      </w:tblGrid>
      <w:tr>
        <w:tc>
          <w:tcPr>
            <w:shd w:fill="B45637" w:val="clear"/>
          </w:tcPr>
          <w:p>
            <w:pPr>
              <w:spacing w:after="0"/>
            </w:pPr>
            <w:r>
              <w:rPr>
                <w:rFonts w:ascii="Aptos" w:cs="Aptos" w:eastAsia="Aptos" w:hAnsi="Aptos"/>
                <w:b/>
                <w:bCs/>
                <w:color w:val="FFFFFF"/>
                <w:sz w:val="17"/>
                <w:szCs w:val="17"/>
              </w:rPr>
              <w:t xml:space="preserve">Role</w:t>
            </w:r>
          </w:p>
        </w:tc>
        <w:tc>
          <w:tcPr>
            <w:shd w:fill="B45637" w:val="clear"/>
          </w:tcPr>
          <w:p>
            <w:pPr>
              <w:spacing w:after="0"/>
            </w:pPr>
            <w:r>
              <w:rPr>
                <w:rFonts w:ascii="Aptos" w:cs="Aptos" w:eastAsia="Aptos" w:hAnsi="Aptos"/>
                <w:b/>
                <w:bCs/>
                <w:color w:val="FFFFFF"/>
                <w:sz w:val="17"/>
                <w:szCs w:val="17"/>
              </w:rPr>
              <w:t xml:space="preserve">Name / title</w:t>
            </w:r>
          </w:p>
        </w:tc>
        <w:tc>
          <w:tcPr>
            <w:shd w:fill="B45637" w:val="clear"/>
          </w:tcPr>
          <w:p>
            <w:pPr>
              <w:spacing w:after="0"/>
            </w:pPr>
            <w:r>
              <w:rPr>
                <w:rFonts w:ascii="Aptos" w:cs="Aptos" w:eastAsia="Aptos" w:hAnsi="Aptos"/>
                <w:b/>
                <w:bCs/>
                <w:color w:val="FFFFFF"/>
                <w:sz w:val="17"/>
                <w:szCs w:val="17"/>
              </w:rPr>
              <w:t xml:space="preserve">Decision / signature reference</w:t>
            </w:r>
          </w:p>
        </w:tc>
        <w:tc>
          <w:tcPr>
            <w:shd w:fill="B45637" w:val="clear"/>
          </w:tcPr>
          <w:p>
            <w:pPr>
              <w:spacing w:after="0"/>
            </w:pPr>
            <w:r>
              <w:rPr>
                <w:rFonts w:ascii="Aptos" w:cs="Aptos" w:eastAsia="Aptos" w:hAnsi="Aptos"/>
                <w:b/>
                <w:bCs/>
                <w:color w:val="FFFFFF"/>
                <w:sz w:val="17"/>
                <w:szCs w:val="17"/>
              </w:rPr>
              <w:t xml:space="preserve">Date</w:t>
            </w:r>
          </w:p>
        </w:tc>
      </w:tr>
      <w:tr>
        <w:trPr>
          <w:trHeight w:val="760" w:hRule="atLeast"/>
        </w:trPr>
        <w:tc>
          <w:tcPr>
            <w:shd w:fill="F5F1E9" w:val="clear"/>
          </w:tcPr>
          <w:p>
            <w:pPr>
              <w:spacing w:after="0"/>
            </w:pPr>
            <w:r>
              <w:rPr>
                <w:rFonts w:ascii="Aptos" w:cs="Aptos" w:eastAsia="Aptos" w:hAnsi="Aptos"/>
                <w:b/>
                <w:bCs/>
                <w:color w:val="10131C"/>
                <w:sz w:val="17"/>
                <w:szCs w:val="17"/>
              </w:rPr>
              <w:t xml:space="preserve">Process owner</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760" w:hRule="atLeast"/>
        </w:trPr>
        <w:tc>
          <w:tcPr>
            <w:shd w:fill="F5F1E9" w:val="clear"/>
          </w:tcPr>
          <w:p>
            <w:pPr>
              <w:spacing w:after="0"/>
            </w:pPr>
            <w:r>
              <w:rPr>
                <w:rFonts w:ascii="Aptos" w:cs="Aptos" w:eastAsia="Aptos" w:hAnsi="Aptos"/>
                <w:b/>
                <w:bCs/>
                <w:color w:val="10131C"/>
                <w:sz w:val="17"/>
                <w:szCs w:val="17"/>
              </w:rPr>
              <w:t xml:space="preserve">Quality owner / quality unit</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760" w:hRule="atLeast"/>
        </w:trPr>
        <w:tc>
          <w:tcPr>
            <w:shd w:fill="F5F1E9" w:val="clear"/>
          </w:tcPr>
          <w:p>
            <w:pPr>
              <w:spacing w:after="0"/>
            </w:pPr>
            <w:r>
              <w:rPr>
                <w:rFonts w:ascii="Aptos" w:cs="Aptos" w:eastAsia="Aptos" w:hAnsi="Aptos"/>
                <w:b/>
                <w:bCs/>
                <w:color w:val="10131C"/>
                <w:sz w:val="17"/>
                <w:szCs w:val="17"/>
              </w:rPr>
              <w:t xml:space="preserve">System owner (as applicable)</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760" w:hRule="atLeast"/>
        </w:trPr>
        <w:tc>
          <w:tcPr>
            <w:shd w:fill="F5F1E9" w:val="clear"/>
          </w:tcPr>
          <w:p>
            <w:pPr>
              <w:spacing w:after="0"/>
            </w:pPr>
            <w:r>
              <w:rPr>
                <w:rFonts w:ascii="Aptos" w:cs="Aptos" w:eastAsia="Aptos" w:hAnsi="Aptos"/>
                <w:b/>
                <w:bCs/>
                <w:color w:val="10131C"/>
                <w:sz w:val="17"/>
                <w:szCs w:val="17"/>
              </w:rPr>
              <w:t xml:space="preserve">Data owner / privacy / security (as applicable)</w:t>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00"/>
      </w:tblGrid>
      <w:tr>
        <w:tc>
          <w:tcPr>
            <w:shd w:fill="10131C" w:val="clear"/>
            <w:tcMar>
              <w:top w:type="dxa" w:w="120"/>
              <w:left w:type="dxa" w:w="140"/>
              <w:bottom w:type="dxa" w:w="120"/>
              <w:right w:type="dxa" w:w="140"/>
            </w:tcMar>
          </w:tcPr>
          <w:p>
            <w:pPr>
              <w:spacing w:after="0"/>
            </w:pPr>
            <w:r>
              <w:rPr>
                <w:rFonts w:ascii="Aptos" w:cs="Aptos" w:eastAsia="Aptos" w:hAnsi="Aptos"/>
                <w:b/>
                <w:bCs/>
                <w:color w:val="FFFFFF"/>
                <w:sz w:val="23"/>
                <w:szCs w:val="23"/>
              </w:rPr>
              <w:t xml:space="preserve">8. Attachments and revision history</w:t>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3182"/>
        <w:gridCol w:w="6178"/>
      </w:tblGrid>
      <w:tr>
        <w:trPr>
          <w:trHeight w:val="12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Attachments / evidence index</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List controlled identifiers and locations; do not embed protected source records here</w:t>
            </w:r>
          </w:p>
        </w:tc>
      </w:tr>
      <w:tr>
        <w:trPr>
          <w:trHeight w:val="700" w:hRule="atLeast"/>
        </w:trPr>
        <w:tc>
          <w:tcPr>
            <w:tcW w:type="pct" w:w="34%"/>
            <w:shd w:fill="F5F1E9" w:val="clear"/>
            <w:tcMar>
              <w:top w:type="dxa" w:w="90"/>
              <w:left w:type="dxa" w:w="120"/>
              <w:bottom w:type="dxa" w:w="90"/>
              <w:right w:type="dxa" w:w="120"/>
            </w:tcMar>
          </w:tcPr>
          <w:p>
            <w:pPr>
              <w:spacing w:after="0"/>
            </w:pPr>
            <w:r>
              <w:rPr>
                <w:rFonts w:ascii="Aptos" w:cs="Aptos" w:eastAsia="Aptos" w:hAnsi="Aptos"/>
                <w:b/>
                <w:bCs/>
                <w:color w:val="10131C"/>
                <w:sz w:val="18"/>
                <w:szCs w:val="18"/>
              </w:rPr>
              <w:t xml:space="preserve">Superseded decision records</w:t>
            </w:r>
          </w:p>
        </w:tc>
        <w:tc>
          <w:tcPr>
            <w:tcW w:type="pct" w:w="66%"/>
            <w:tcMar>
              <w:top w:type="dxa" w:w="90"/>
              <w:left w:type="dxa" w:w="120"/>
              <w:bottom w:type="dxa" w:w="90"/>
              <w:right w:type="dxa" w:w="120"/>
            </w:tcMar>
          </w:tcPr>
          <w:p>
            <w:pPr>
              <w:spacing w:after="0"/>
            </w:pPr>
            <w:r>
              <w:rPr>
                <w:rFonts w:ascii="Aptos" w:cs="Aptos" w:eastAsia="Aptos" w:hAnsi="Aptos"/>
                <w:color w:val="5F6470"/>
                <w:sz w:val="17"/>
                <w:szCs w:val="17"/>
              </w:rPr>
              <w:t xml:space="preserve"/>
            </w:r>
          </w:p>
        </w:tc>
      </w:tr>
    </w:tbl>
    <w:p>
      <w:pPr>
        <w:spacing w:after="80"/>
      </w:pPr>
      <w:r>
        <w:rPr>
          <w:rFonts w:ascii="Aptos" w:cs="Aptos" w:eastAsia="Aptos" w:hAnsi="Aptos"/>
          <w:color w:val="10131C"/>
          <w:sz w:val="20"/>
          <w:szCs w:val="20"/>
        </w:rPr>
        <w:t xml:space="preserve"/>
      </w:r>
    </w:p>
    <w:tbl>
      <w:tblPr>
        <w:tblW w:type="pct" w:w="100%"/>
        <w:tblBorders>
          <w:top w:val="single" w:color="D8D0C3" w:sz="4"/>
          <w:left w:val="single" w:color="D8D0C3" w:sz="4"/>
          <w:bottom w:val="single" w:color="D8D0C3" w:sz="4"/>
          <w:right w:val="single" w:color="D8D0C3" w:sz="4"/>
          <w:insideH w:val="single" w:color="D8D0C3" w:sz="4"/>
          <w:insideV w:val="single" w:color="D8D0C3" w:sz="4"/>
        </w:tblBorders>
      </w:tblPr>
      <w:tblGrid>
        <w:gridCol w:w="1200"/>
        <w:gridCol w:w="1800"/>
        <w:gridCol w:w="4160"/>
        <w:gridCol w:w="2200"/>
      </w:tblGrid>
      <w:tr>
        <w:tc>
          <w:tcPr>
            <w:shd w:fill="B45637" w:val="clear"/>
          </w:tcPr>
          <w:p>
            <w:pPr>
              <w:spacing w:after="0"/>
            </w:pPr>
            <w:r>
              <w:rPr>
                <w:rFonts w:ascii="Aptos" w:cs="Aptos" w:eastAsia="Aptos" w:hAnsi="Aptos"/>
                <w:b/>
                <w:bCs/>
                <w:color w:val="FFFFFF"/>
                <w:sz w:val="17"/>
                <w:szCs w:val="17"/>
              </w:rPr>
              <w:t xml:space="preserve">Version</w:t>
            </w:r>
          </w:p>
        </w:tc>
        <w:tc>
          <w:tcPr>
            <w:shd w:fill="B45637" w:val="clear"/>
          </w:tcPr>
          <w:p>
            <w:pPr>
              <w:spacing w:after="0"/>
            </w:pPr>
            <w:r>
              <w:rPr>
                <w:rFonts w:ascii="Aptos" w:cs="Aptos" w:eastAsia="Aptos" w:hAnsi="Aptos"/>
                <w:b/>
                <w:bCs/>
                <w:color w:val="FFFFFF"/>
                <w:sz w:val="17"/>
                <w:szCs w:val="17"/>
              </w:rPr>
              <w:t xml:space="preserve">Date</w:t>
            </w:r>
          </w:p>
        </w:tc>
        <w:tc>
          <w:tcPr>
            <w:shd w:fill="B45637" w:val="clear"/>
          </w:tcPr>
          <w:p>
            <w:pPr>
              <w:spacing w:after="0"/>
            </w:pPr>
            <w:r>
              <w:rPr>
                <w:rFonts w:ascii="Aptos" w:cs="Aptos" w:eastAsia="Aptos" w:hAnsi="Aptos"/>
                <w:b/>
                <w:bCs/>
                <w:color w:val="FFFFFF"/>
                <w:sz w:val="17"/>
                <w:szCs w:val="17"/>
              </w:rPr>
              <w:t xml:space="preserve">Change / reason</w:t>
            </w:r>
          </w:p>
        </w:tc>
        <w:tc>
          <w:tcPr>
            <w:shd w:fill="B45637" w:val="clear"/>
          </w:tcPr>
          <w:p>
            <w:pPr>
              <w:spacing w:after="0"/>
            </w:pPr>
            <w:r>
              <w:rPr>
                <w:rFonts w:ascii="Aptos" w:cs="Aptos" w:eastAsia="Aptos" w:hAnsi="Aptos"/>
                <w:b/>
                <w:bCs/>
                <w:color w:val="FFFFFF"/>
                <w:sz w:val="17"/>
                <w:szCs w:val="17"/>
              </w:rPr>
              <w:t xml:space="preserve">Approved by</w:t>
            </w:r>
          </w:p>
        </w:tc>
      </w:tr>
      <w:tr>
        <w:trPr>
          <w:trHeight w:val="650" w:hRule="atLeast"/>
        </w:trPr>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50" w:hRule="atLeast"/>
        </w:trPr>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50" w:hRule="atLeast"/>
        </w:trPr>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r>
        <w:trPr>
          <w:trHeight w:val="650" w:hRule="atLeast"/>
        </w:trPr>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c>
          <w:p>
            <w:pPr>
              <w:spacing w:after="100" w:line="276"/>
            </w:pPr>
            <w:r>
              <w:rPr>
                <w:rFonts w:ascii="Aptos" w:cs="Aptos" w:eastAsia="Aptos" w:hAnsi="Aptos"/>
                <w:color w:val="10131C"/>
                <w:sz w:val="20"/>
                <w:szCs w:val="20"/>
              </w:rPr>
              <w:t xml:space="preserve"/>
            </w:r>
          </w:p>
        </w:tc>
      </w:tr>
    </w:tbl>
    <w:p>
      <w:pPr>
        <w:spacing w:after="80"/>
      </w:pPr>
      <w:r>
        <w:rPr>
          <w:rFonts w:ascii="Aptos" w:cs="Aptos" w:eastAsia="Aptos" w:hAnsi="Aptos"/>
          <w:color w:val="10131C"/>
          <w:sz w:val="20"/>
          <w:szCs w:val="20"/>
        </w:rPr>
        <w:t xml:space="preserve"/>
      </w:r>
    </w:p>
    <w:p>
      <w:pPr>
        <w:spacing w:after="0" w:before="120" w:line="230"/>
      </w:pPr>
      <w:r>
        <w:rPr>
          <w:rFonts w:ascii="Aptos" w:cs="Aptos" w:eastAsia="Aptos" w:hAnsi="Aptos"/>
          <w:color w:val="5F6470"/>
          <w:sz w:val="15"/>
          <w:szCs w:val="15"/>
        </w:rPr>
        <w:t xml:space="preserve">Template basis: Brian Drapeau, Governing AI in Pharmaceutical Operations, version 1.0 (2026), AI-Supported Work Authorization Cycle. Security prompts reflect the supplied September 18, 2026 review of gxpframe.com and lifesciencesai.academy; users must perform a current, use-specific assessment.</w:t>
      </w:r>
    </w:p>
    <w:sectPr>
      <w:headerReference w:type="default" r:id="rId7"/>
      <w:footerReference w:type="default" r:id="rId8"/>
      <w:pgSz w:w="12240" w:h="15840" w:orient="portrait"/>
      <w:pgMar w:top="920" w:right="720" w:bottom="850" w:left="720" w:header="420"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D8D0C3" w:sz="6"/>
        <w:left w:val="none"/>
        <w:bottom w:val="none"/>
        <w:right w:val="none"/>
        <w:insideH w:val="none"/>
        <w:insideV w:val="none"/>
      </w:tblBorders>
    </w:tblPr>
    <w:tblGrid>
      <w:gridCol w:w="7000"/>
      <w:gridCol w:w="2360"/>
    </w:tblGrid>
    <w:tr>
      <w:tc>
        <w:p>
          <w:pPr>
            <w:spacing w:after="0"/>
          </w:pPr>
          <w:r>
            <w:rPr>
              <w:rFonts w:ascii="Aptos" w:cs="Aptos" w:eastAsia="Aptos" w:hAnsi="Aptos"/>
              <w:color w:val="5F6470"/>
              <w:sz w:val="15"/>
              <w:szCs w:val="15"/>
            </w:rPr>
            <w:t xml:space="preserve">Operating aid; adapt and approve within the applicable quality system.</w:t>
          </w:r>
        </w:p>
      </w:tc>
      <w:tc>
        <w:p>
          <w:pPr>
            <w:spacing w:after="0"/>
            <w:jc w:val="right"/>
          </w:pPr>
          <w:r>
            <w:rPr>
              <w:color w:val="5F6470"/>
              <w:sz w:val="15"/>
              <w:szCs w:val="15"/>
            </w:rPr>
            <w:t xml:space="preserve">Page </w:t>
          </w:r>
          <w:r>
            <w:rPr>
              <w:color w:val="5F6470"/>
              <w:sz w:val="15"/>
              <w:szCs w:val="15"/>
            </w:rPr>
            <w:fldChar w:fldCharType="begin"/>
            <w:instrText xml:space="preserve">PAGE</w:instrText>
            <w:fldChar w:fldCharType="separate"/>
            <w:fldChar w:fldCharType="end"/>
          </w:r>
          <w:r>
            <w:rPr>
              <w:color w:val="5F6470"/>
              <w:sz w:val="15"/>
              <w:szCs w:val="15"/>
            </w:rPr>
            <w:t xml:space="preserve"> of </w:t>
          </w:r>
          <w:r>
            <w:rPr>
              <w:color w:val="5F6470"/>
              <w:sz w:val="15"/>
              <w:szCs w:val="15"/>
            </w:rPr>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left w:val="none"/>
        <w:bottom w:val="single" w:color="B45637" w:sz="8"/>
        <w:right w:val="none"/>
        <w:insideH w:val="none"/>
        <w:insideV w:val="none"/>
      </w:tblBorders>
    </w:tblPr>
    <w:tblGrid>
      <w:gridCol w:w="4680"/>
      <w:gridCol w:w="4680"/>
    </w:tblGrid>
    <w:tr>
      <w:tc>
        <w:p>
          <w:pPr>
            <w:spacing w:after="0"/>
          </w:pPr>
          <w:r>
            <w:rPr>
              <w:rFonts w:ascii="Aptos" w:cs="Aptos" w:eastAsia="Aptos" w:hAnsi="Aptos"/>
              <w:b/>
              <w:bCs/>
              <w:color w:val="10131C"/>
              <w:sz w:val="22"/>
              <w:szCs w:val="22"/>
            </w:rPr>
            <w:t xml:space="preserve">GxP Frame</w:t>
          </w:r>
        </w:p>
      </w:tc>
      <w:tc>
        <w:p>
          <w:pPr>
            <w:spacing w:after="0"/>
            <w:jc w:val="right"/>
          </w:pPr>
          <w:r>
            <w:rPr>
              <w:rFonts w:ascii="Aptos" w:cs="Aptos" w:eastAsia="Aptos" w:hAnsi="Aptos"/>
              <w:color w:val="5F6470"/>
              <w:sz w:val="17"/>
              <w:szCs w:val="17"/>
            </w:rPr>
            <w:t xml:space="preserve">AI Gate Decision Record | v1.0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0131C"/>
        <w:sz w:val="20"/>
        <w:szCs w:val="20"/>
      </w:rPr>
    </w:rPrDefault>
    <w:pPrDefault>
      <w:pPr>
        <w:spacing w:after="1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GxP Frame AI Gate Decision Record v1.0</dc:title>
  <dc:subject>AI-Supported Work Authorization Cycle template</dc:subject>
  <dc:creator>Brian Drapeau</dc:creator>
  <dc:description>A controlled decision-record template for documenting AI use scope, evidence, authority, security, evaluation, gate decision, and accountable approvals.</dc:description>
  <cp:lastModifiedBy>Un-named</cp:lastModifiedBy>
  <cp:revision>1</cp:revision>
  <dcterms:created xsi:type="dcterms:W3CDTF">2026-09-18T22:24:35.672Z</dcterms:created>
  <dcterms:modified xsi:type="dcterms:W3CDTF">2026-09-18T22:24:35.673Z</dcterms:modified>
</cp:coreProperties>
</file>

<file path=docProps/custom.xml><?xml version="1.0" encoding="utf-8"?>
<Properties xmlns="http://schemas.openxmlformats.org/officeDocument/2006/custom-properties" xmlns:vt="http://schemas.openxmlformats.org/officeDocument/2006/docPropsVTypes"/>
</file>